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184216">
      <w:pPr>
        <w:spacing w:line="560" w:lineRule="exact"/>
        <w:jc w:val="both"/>
        <w:rPr>
          <w:rFonts w:hint="eastAsia" w:ascii="宋体" w:hAnsi="宋体" w:eastAsia="宋体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/>
          <w:color w:val="333333"/>
          <w:sz w:val="28"/>
          <w:szCs w:val="28"/>
          <w:shd w:val="clear" w:color="auto" w:fill="FFFFFF"/>
          <w:lang w:val="en-US" w:eastAsia="zh-CN"/>
        </w:rPr>
        <w:t>附件</w:t>
      </w:r>
      <w:r>
        <w:rPr>
          <w:rFonts w:hint="eastAsia" w:ascii="宋体" w:hAnsi="宋体"/>
          <w:color w:val="333333"/>
          <w:sz w:val="28"/>
          <w:szCs w:val="28"/>
          <w:shd w:val="clear" w:color="auto" w:fill="FFFFFF"/>
          <w:lang w:val="en-US" w:eastAsia="zh-CN"/>
        </w:rPr>
        <w:t>2</w:t>
      </w:r>
      <w:r>
        <w:rPr>
          <w:rFonts w:hint="eastAsia" w:ascii="宋体" w:hAnsi="宋体" w:eastAsia="宋体"/>
          <w:color w:val="333333"/>
          <w:sz w:val="28"/>
          <w:szCs w:val="28"/>
          <w:shd w:val="clear" w:color="auto" w:fill="FFFFFF"/>
          <w:lang w:val="en-US" w:eastAsia="zh-CN"/>
        </w:rPr>
        <w:t>：</w:t>
      </w:r>
    </w:p>
    <w:p w14:paraId="6D6C1CAF">
      <w:pPr>
        <w:spacing w:line="560" w:lineRule="exact"/>
        <w:jc w:val="center"/>
        <w:rPr>
          <w:rFonts w:hint="eastAsia" w:ascii="方正小标宋简体" w:hAnsi="微软雅黑" w:eastAsia="方正小标宋简体"/>
          <w:color w:val="333333"/>
          <w:sz w:val="36"/>
          <w:szCs w:val="36"/>
          <w:shd w:val="clear" w:color="auto" w:fill="FFFFFF"/>
          <w:lang w:val="en-US" w:eastAsia="en-US"/>
        </w:rPr>
      </w:pPr>
      <w:bookmarkStart w:id="0" w:name="OLE_LINK5"/>
      <w:r>
        <w:rPr>
          <w:rFonts w:hint="eastAsia" w:ascii="方正小标宋简体" w:hAnsi="微软雅黑" w:eastAsia="方正小标宋简体"/>
          <w:color w:val="333333"/>
          <w:sz w:val="36"/>
          <w:szCs w:val="36"/>
          <w:shd w:val="clear" w:color="auto" w:fill="FFFFFF"/>
          <w:lang w:val="en-US" w:eastAsia="en-US"/>
        </w:rPr>
        <w:t>印度尼西亚职业教育标准升级</w:t>
      </w:r>
      <w:r>
        <w:rPr>
          <w:rFonts w:hint="eastAsia" w:ascii="方正小标宋简体" w:hAnsi="微软雅黑" w:eastAsia="方正小标宋简体"/>
          <w:color w:val="333333"/>
          <w:sz w:val="36"/>
          <w:szCs w:val="36"/>
          <w:shd w:val="clear" w:color="auto" w:fill="FFFFFF"/>
          <w:lang w:val="en-US" w:eastAsia="zh-CN"/>
        </w:rPr>
        <w:t>采购</w:t>
      </w:r>
      <w:r>
        <w:rPr>
          <w:rFonts w:hint="eastAsia" w:ascii="方正小标宋简体" w:hAnsi="微软雅黑" w:eastAsia="方正小标宋简体"/>
          <w:color w:val="333333"/>
          <w:sz w:val="36"/>
          <w:szCs w:val="36"/>
          <w:shd w:val="clear" w:color="auto" w:fill="FFFFFF"/>
          <w:lang w:val="en-US" w:eastAsia="en-US"/>
        </w:rPr>
        <w:t>项目</w:t>
      </w:r>
      <w:bookmarkEnd w:id="0"/>
      <w:r>
        <w:rPr>
          <w:rFonts w:hint="eastAsia" w:ascii="方正小标宋简体" w:hAnsi="微软雅黑" w:eastAsia="方正小标宋简体"/>
          <w:color w:val="333333"/>
          <w:sz w:val="36"/>
          <w:szCs w:val="36"/>
          <w:shd w:val="clear" w:color="auto" w:fill="FFFFFF"/>
        </w:rPr>
        <w:t>综合评分表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883"/>
        <w:gridCol w:w="6735"/>
        <w:gridCol w:w="934"/>
      </w:tblGrid>
      <w:tr w14:paraId="6D3AA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9" w:type="dxa"/>
            <w:vAlign w:val="center"/>
          </w:tcPr>
          <w:p w14:paraId="2A666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rPr>
                <w:rFonts w:hint="eastAsia" w:ascii="黑体" w:hAnsi="黑体" w:eastAsia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kern w:val="0"/>
                <w:sz w:val="24"/>
                <w:szCs w:val="24"/>
              </w:rPr>
              <w:br w:type="page"/>
            </w: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序号</w:t>
            </w:r>
          </w:p>
        </w:tc>
        <w:tc>
          <w:tcPr>
            <w:tcW w:w="883" w:type="dxa"/>
            <w:vAlign w:val="center"/>
          </w:tcPr>
          <w:p w14:paraId="0D312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rPr>
                <w:rFonts w:hint="eastAsia"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评审因素</w:t>
            </w:r>
          </w:p>
        </w:tc>
        <w:tc>
          <w:tcPr>
            <w:tcW w:w="6735" w:type="dxa"/>
            <w:vAlign w:val="center"/>
          </w:tcPr>
          <w:p w14:paraId="07ED7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rPr>
                <w:rFonts w:hint="eastAsia"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评分说明</w:t>
            </w:r>
          </w:p>
        </w:tc>
        <w:tc>
          <w:tcPr>
            <w:tcW w:w="934" w:type="dxa"/>
            <w:vAlign w:val="center"/>
          </w:tcPr>
          <w:p w14:paraId="1371E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rPr>
                <w:rFonts w:hint="eastAsia"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分值</w:t>
            </w:r>
          </w:p>
        </w:tc>
      </w:tr>
      <w:tr w14:paraId="339ED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1" w:type="dxa"/>
            <w:gridSpan w:val="4"/>
            <w:vAlign w:val="center"/>
          </w:tcPr>
          <w:p w14:paraId="72196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</w:rPr>
              <w:t>一、报价部分（</w:t>
            </w: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</w:rPr>
              <w:t>分）</w:t>
            </w:r>
          </w:p>
        </w:tc>
      </w:tr>
      <w:tr w14:paraId="61B1F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9" w:type="dxa"/>
            <w:vAlign w:val="center"/>
          </w:tcPr>
          <w:p w14:paraId="2EEAD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883" w:type="dxa"/>
            <w:vAlign w:val="center"/>
          </w:tcPr>
          <w:p w14:paraId="04716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报价得分</w:t>
            </w:r>
          </w:p>
        </w:tc>
        <w:tc>
          <w:tcPr>
            <w:tcW w:w="6735" w:type="dxa"/>
            <w:vAlign w:val="center"/>
          </w:tcPr>
          <w:p w14:paraId="4DBC6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价格分采用低价优先法计算，即满足文件要求且评审报价最低的为评审基准价，其价格分为满分。其他供应商的价格分统一按照下列公式计算：</w:t>
            </w:r>
          </w:p>
          <w:p w14:paraId="1A756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投标报价得分=（投标基准价/投标报价）×30</w:t>
            </w:r>
          </w:p>
          <w:p w14:paraId="20F6B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注：</w:t>
            </w:r>
          </w:p>
          <w:p w14:paraId="42898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1.计算结果按四舍五入法则，保留小数点后两位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；</w:t>
            </w:r>
          </w:p>
          <w:p w14:paraId="73E01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评审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小组认为供应商的报价明显低于其他通过符合性审查供应商的报价，有可能影响产品质量或者不能诚信履约的，应当要求其在评审现场合理的时间内提供书面说明，必要时提交相关证明材料(具备相应资质的第三方公司或机构出具的证明文件)；供应商不能证明其报价合理性的，由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评审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小组认定该供应商以不合理低价进行竞标，其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评审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将被否决。</w:t>
            </w:r>
          </w:p>
        </w:tc>
        <w:tc>
          <w:tcPr>
            <w:tcW w:w="934" w:type="dxa"/>
            <w:vAlign w:val="center"/>
          </w:tcPr>
          <w:p w14:paraId="246B9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分</w:t>
            </w:r>
          </w:p>
        </w:tc>
      </w:tr>
      <w:tr w14:paraId="1DF0A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1" w:type="dxa"/>
            <w:gridSpan w:val="4"/>
            <w:vAlign w:val="center"/>
          </w:tcPr>
          <w:p w14:paraId="02A47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  <w:highlight w:val="none"/>
              </w:rPr>
              <w:t>二、</w:t>
            </w:r>
            <w:r>
              <w:rPr>
                <w:rFonts w:hint="eastAsia" w:ascii="宋体" w:hAnsi="宋体"/>
                <w:b/>
                <w:bCs w:val="0"/>
                <w:sz w:val="24"/>
                <w:szCs w:val="24"/>
                <w:highlight w:val="none"/>
                <w:lang w:eastAsia="zh-CN"/>
              </w:rPr>
              <w:t>技术要求</w:t>
            </w: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  <w:highlight w:val="none"/>
              </w:rPr>
              <w:t>部分（</w:t>
            </w:r>
            <w:r>
              <w:rPr>
                <w:rFonts w:hint="eastAsia" w:ascii="宋体" w:hAnsi="宋体"/>
                <w:b/>
                <w:bCs w:val="0"/>
                <w:sz w:val="24"/>
                <w:szCs w:val="24"/>
                <w:highlight w:val="none"/>
                <w:lang w:val="en-US" w:eastAsia="zh-CN"/>
              </w:rPr>
              <w:t>58</w:t>
            </w: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  <w:highlight w:val="none"/>
                <w:lang w:val="en-US" w:eastAsia="zh-CN"/>
              </w:rPr>
              <w:t>分</w:t>
            </w: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  <w:highlight w:val="none"/>
              </w:rPr>
              <w:t>）</w:t>
            </w:r>
          </w:p>
        </w:tc>
      </w:tr>
      <w:tr w14:paraId="56189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9" w:type="dxa"/>
            <w:vAlign w:val="center"/>
          </w:tcPr>
          <w:p w14:paraId="0D597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83" w:type="dxa"/>
            <w:vAlign w:val="center"/>
          </w:tcPr>
          <w:p w14:paraId="32E5C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国际化</w:t>
            </w:r>
          </w:p>
          <w:p w14:paraId="07B11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资源</w:t>
            </w:r>
          </w:p>
        </w:tc>
        <w:tc>
          <w:tcPr>
            <w:tcW w:w="6735" w:type="dxa"/>
            <w:vAlign w:val="center"/>
          </w:tcPr>
          <w:p w14:paraId="077C7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根据供应商提供的国际化职业教育资源合作情况评审。</w:t>
            </w:r>
          </w:p>
          <w:p w14:paraId="2DB1D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拥有中印尼职业教育产教联盟合作授权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分；</w:t>
            </w:r>
          </w:p>
          <w:p w14:paraId="762C9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拥有海外高校相关合作的证明文件每提供1份得2分，最高得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分；</w:t>
            </w:r>
          </w:p>
          <w:p w14:paraId="603B0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未提供相关内容的不得分。</w:t>
            </w:r>
          </w:p>
        </w:tc>
        <w:tc>
          <w:tcPr>
            <w:tcW w:w="934" w:type="dxa"/>
            <w:vAlign w:val="center"/>
          </w:tcPr>
          <w:p w14:paraId="4EF59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分</w:t>
            </w:r>
          </w:p>
        </w:tc>
      </w:tr>
      <w:tr w14:paraId="63DB0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9" w:type="dxa"/>
            <w:vAlign w:val="center"/>
          </w:tcPr>
          <w:p w14:paraId="24C3A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883" w:type="dxa"/>
            <w:vAlign w:val="center"/>
          </w:tcPr>
          <w:p w14:paraId="55110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 xml:space="preserve"> 团队结构与职责分工</w:t>
            </w:r>
          </w:p>
        </w:tc>
        <w:tc>
          <w:tcPr>
            <w:tcW w:w="6735" w:type="dxa"/>
            <w:vAlign w:val="center"/>
          </w:tcPr>
          <w:p w14:paraId="3A4ED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根据供应商提供的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团队结构与职责分工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情况评审。</w:t>
            </w:r>
          </w:p>
          <w:p w14:paraId="75148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1.岗位设置完整且与项目需求一一对应，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各岗位职责描述清晰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具有可操作性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得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分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；</w:t>
            </w:r>
          </w:p>
          <w:p w14:paraId="37F1B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2.岗位设置基本完整，但部分职责描述模糊或协作流程未明确，计划可操作性一般得5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分；</w:t>
            </w:r>
          </w:p>
          <w:p w14:paraId="68057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3.岗位配置存在缺漏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，可操作性差的得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分；</w:t>
            </w:r>
          </w:p>
          <w:p w14:paraId="675C4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未提供相关内容的不得分。</w:t>
            </w:r>
          </w:p>
        </w:tc>
        <w:tc>
          <w:tcPr>
            <w:tcW w:w="934" w:type="dxa"/>
            <w:vAlign w:val="center"/>
          </w:tcPr>
          <w:p w14:paraId="0114A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分</w:t>
            </w:r>
          </w:p>
        </w:tc>
      </w:tr>
      <w:tr w14:paraId="067C4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9" w:type="dxa"/>
            <w:vAlign w:val="center"/>
          </w:tcPr>
          <w:p w14:paraId="0E901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883" w:type="dxa"/>
            <w:vAlign w:val="center"/>
          </w:tcPr>
          <w:p w14:paraId="6ACAF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核心岗位专业资质</w:t>
            </w:r>
          </w:p>
        </w:tc>
        <w:tc>
          <w:tcPr>
            <w:tcW w:w="6735" w:type="dxa"/>
            <w:vAlign w:val="center"/>
          </w:tcPr>
          <w:p w14:paraId="0774B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根据供应商提供的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核心岗位专业资质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情况评审。</w:t>
            </w:r>
          </w:p>
          <w:p w14:paraId="4C399A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Chars="0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为了保证项目的顺利实施，供应商投入本项目的实施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核心岗位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人员应具有专业英语翻译能力，需提供英语专业8级考试（TEM8）证书和雅思8.0以上成绩证书，并提供该人员在本公司近半年连续缴纳的社保证明，提供完整的，得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分；</w:t>
            </w:r>
          </w:p>
          <w:p w14:paraId="7FE03A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Chars="0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未提供或不符合要求的，不得分。</w:t>
            </w:r>
          </w:p>
        </w:tc>
        <w:tc>
          <w:tcPr>
            <w:tcW w:w="934" w:type="dxa"/>
            <w:vAlign w:val="center"/>
          </w:tcPr>
          <w:p w14:paraId="68939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6分</w:t>
            </w:r>
          </w:p>
        </w:tc>
      </w:tr>
      <w:tr w14:paraId="34749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9" w:type="dxa"/>
            <w:vAlign w:val="center"/>
          </w:tcPr>
          <w:p w14:paraId="3A760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883" w:type="dxa"/>
            <w:vAlign w:val="center"/>
          </w:tcPr>
          <w:p w14:paraId="64CE4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40" w:lineRule="exact"/>
              <w:jc w:val="center"/>
              <w:rPr>
                <w:rFonts w:hint="eastAsia"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  <w:t>采购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需求响应</w:t>
            </w:r>
          </w:p>
        </w:tc>
        <w:tc>
          <w:tcPr>
            <w:tcW w:w="6735" w:type="dxa"/>
            <w:vAlign w:val="center"/>
          </w:tcPr>
          <w:p w14:paraId="06857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40" w:lineRule="exact"/>
              <w:jc w:val="left"/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服务需求中的技术指标完全满足的得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分，一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  <w:t>点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不满足扣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分，扣完为止。</w:t>
            </w:r>
          </w:p>
        </w:tc>
        <w:tc>
          <w:tcPr>
            <w:tcW w:w="934" w:type="dxa"/>
            <w:vAlign w:val="center"/>
          </w:tcPr>
          <w:p w14:paraId="431A4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40" w:lineRule="exact"/>
              <w:jc w:val="center"/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分</w:t>
            </w:r>
          </w:p>
        </w:tc>
      </w:tr>
      <w:tr w14:paraId="2D113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9" w:type="dxa"/>
            <w:vAlign w:val="center"/>
          </w:tcPr>
          <w:p w14:paraId="782D7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83" w:type="dxa"/>
            <w:vAlign w:val="center"/>
          </w:tcPr>
          <w:p w14:paraId="1A721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4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运作机制及工作流程</w:t>
            </w:r>
          </w:p>
        </w:tc>
        <w:tc>
          <w:tcPr>
            <w:tcW w:w="6735" w:type="dxa"/>
            <w:vAlign w:val="center"/>
          </w:tcPr>
          <w:p w14:paraId="47E8F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4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根据供应商提供的运作机制及工作流程进行综合评审。</w:t>
            </w:r>
          </w:p>
          <w:p w14:paraId="38360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40" w:lineRule="exact"/>
              <w:jc w:val="left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运作机制详尽合理，工作流程条理清晰，各阶段工作安排合理得1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分；</w:t>
            </w:r>
          </w:p>
          <w:p w14:paraId="27EDA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40" w:lineRule="exact"/>
              <w:jc w:val="left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运作机制相对合理，工作流程各阶段工作安排明确，得6分；</w:t>
            </w:r>
          </w:p>
          <w:p w14:paraId="42919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40" w:lineRule="exact"/>
              <w:jc w:val="left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运作机制一般，工作流程各阶段工作安排不明确，得4分；</w:t>
            </w:r>
          </w:p>
          <w:p w14:paraId="697D3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40" w:lineRule="exact"/>
              <w:jc w:val="left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未提供相关内容的不得分。</w:t>
            </w:r>
          </w:p>
        </w:tc>
        <w:tc>
          <w:tcPr>
            <w:tcW w:w="934" w:type="dxa"/>
            <w:vAlign w:val="center"/>
          </w:tcPr>
          <w:p w14:paraId="54CFB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4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分</w:t>
            </w:r>
          </w:p>
        </w:tc>
      </w:tr>
      <w:tr w14:paraId="45BC2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9" w:type="dxa"/>
            <w:vAlign w:val="center"/>
          </w:tcPr>
          <w:p w14:paraId="3D683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883" w:type="dxa"/>
            <w:vAlign w:val="center"/>
          </w:tcPr>
          <w:p w14:paraId="66432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4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突发事件应急措施</w:t>
            </w:r>
          </w:p>
        </w:tc>
        <w:tc>
          <w:tcPr>
            <w:tcW w:w="6735" w:type="dxa"/>
            <w:vAlign w:val="center"/>
          </w:tcPr>
          <w:p w14:paraId="5D294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40" w:lineRule="exact"/>
              <w:jc w:val="left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根据供应商提供的突发事件应急措施进行综合评审。</w:t>
            </w:r>
          </w:p>
          <w:p w14:paraId="6581C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4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措施具体、有针对性、具有较强实施性，质量保证目标明确，得1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分；</w:t>
            </w:r>
            <w:bookmarkStart w:id="1" w:name="_GoBack"/>
            <w:bookmarkEnd w:id="1"/>
          </w:p>
          <w:p w14:paraId="4B758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40" w:lineRule="exact"/>
              <w:jc w:val="left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措施较具体、实施性一般，质量保证目标一般，得6分；</w:t>
            </w:r>
          </w:p>
          <w:p w14:paraId="0E1BA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40" w:lineRule="exact"/>
              <w:jc w:val="left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没有具体措施，质量保证目标不明确的得4分；</w:t>
            </w:r>
          </w:p>
          <w:p w14:paraId="2B55C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40" w:lineRule="exact"/>
              <w:jc w:val="left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未提供相关内容的不得分。</w:t>
            </w:r>
          </w:p>
        </w:tc>
        <w:tc>
          <w:tcPr>
            <w:tcW w:w="934" w:type="dxa"/>
            <w:vAlign w:val="center"/>
          </w:tcPr>
          <w:p w14:paraId="3429C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4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分</w:t>
            </w:r>
          </w:p>
        </w:tc>
      </w:tr>
      <w:tr w14:paraId="3FD57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1" w:type="dxa"/>
            <w:gridSpan w:val="4"/>
            <w:vAlign w:val="center"/>
          </w:tcPr>
          <w:p w14:paraId="4FD17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</w:rPr>
              <w:t>三、</w:t>
            </w:r>
            <w:r>
              <w:rPr>
                <w:rFonts w:hint="eastAsia" w:ascii="宋体" w:hAnsi="宋体"/>
                <w:b/>
                <w:bCs w:val="0"/>
                <w:sz w:val="24"/>
                <w:szCs w:val="24"/>
                <w:lang w:eastAsia="zh-CN"/>
              </w:rPr>
              <w:t>商务要求部</w:t>
            </w: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</w:rPr>
              <w:t>分（</w:t>
            </w:r>
            <w:r>
              <w:rPr>
                <w:rFonts w:hint="eastAsia" w:ascii="宋体" w:hAnsi="宋体"/>
                <w:b/>
                <w:bCs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  <w:t>分</w:t>
            </w: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</w:rPr>
              <w:t>）</w:t>
            </w:r>
          </w:p>
        </w:tc>
      </w:tr>
      <w:tr w14:paraId="3E0F8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509" w:type="dxa"/>
            <w:vAlign w:val="center"/>
          </w:tcPr>
          <w:p w14:paraId="7B11D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883" w:type="dxa"/>
            <w:vAlign w:val="center"/>
          </w:tcPr>
          <w:p w14:paraId="23AE8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同类业绩</w:t>
            </w:r>
          </w:p>
        </w:tc>
        <w:tc>
          <w:tcPr>
            <w:tcW w:w="6735" w:type="dxa"/>
            <w:vAlign w:val="center"/>
          </w:tcPr>
          <w:p w14:paraId="69853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供应商具有2024年1月1日以来同类职教国际化服务项目业绩的，每提供1份得2分，最高得4分，没有不得分。</w:t>
            </w:r>
          </w:p>
        </w:tc>
        <w:tc>
          <w:tcPr>
            <w:tcW w:w="934" w:type="dxa"/>
            <w:vAlign w:val="center"/>
          </w:tcPr>
          <w:p w14:paraId="250E9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4分</w:t>
            </w:r>
          </w:p>
        </w:tc>
      </w:tr>
      <w:tr w14:paraId="521DB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509" w:type="dxa"/>
            <w:vAlign w:val="center"/>
          </w:tcPr>
          <w:p w14:paraId="2EC7A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883" w:type="dxa"/>
            <w:vAlign w:val="center"/>
          </w:tcPr>
          <w:p w14:paraId="345F6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售后服务</w:t>
            </w:r>
          </w:p>
        </w:tc>
        <w:tc>
          <w:tcPr>
            <w:tcW w:w="6735" w:type="dxa"/>
            <w:vAlign w:val="center"/>
          </w:tcPr>
          <w:p w14:paraId="6C289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根据供应商售后服务承诺全面，细致，有针对性，且有问题响应时间、形式等综合评审。</w:t>
            </w:r>
          </w:p>
          <w:p w14:paraId="0EDC6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供应商提供的承诺方案合理性、完善程度，优秀的得6分；</w:t>
            </w:r>
          </w:p>
          <w:p w14:paraId="77EC0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供应商提供的承诺方案合理性、完善程度，比较一般的得4分；</w:t>
            </w:r>
          </w:p>
          <w:p w14:paraId="47099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供应商提供的承诺方案合理性、完善程度，不详细的得2分；</w:t>
            </w:r>
          </w:p>
          <w:p w14:paraId="6794D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未提供相关内容的不得分。</w:t>
            </w:r>
          </w:p>
        </w:tc>
        <w:tc>
          <w:tcPr>
            <w:tcW w:w="934" w:type="dxa"/>
            <w:vAlign w:val="center"/>
          </w:tcPr>
          <w:p w14:paraId="61567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6分</w:t>
            </w:r>
          </w:p>
        </w:tc>
      </w:tr>
      <w:tr w14:paraId="52B91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509" w:type="dxa"/>
            <w:vAlign w:val="center"/>
          </w:tcPr>
          <w:p w14:paraId="06969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3" w:type="dxa"/>
            <w:vAlign w:val="center"/>
          </w:tcPr>
          <w:p w14:paraId="1512B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其他优惠条件</w:t>
            </w:r>
          </w:p>
        </w:tc>
        <w:tc>
          <w:tcPr>
            <w:tcW w:w="6735" w:type="dxa"/>
            <w:vAlign w:val="center"/>
          </w:tcPr>
          <w:p w14:paraId="2EAC7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具有实质性优惠条件的，含价格给予优惠、服务周期延长或服务内容增加、赠送其他服务项等，每提供一条得1分，共2分。</w:t>
            </w:r>
          </w:p>
        </w:tc>
        <w:tc>
          <w:tcPr>
            <w:tcW w:w="934" w:type="dxa"/>
            <w:vAlign w:val="center"/>
          </w:tcPr>
          <w:p w14:paraId="58252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2分</w:t>
            </w:r>
          </w:p>
        </w:tc>
      </w:tr>
      <w:tr w14:paraId="21D41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1" w:type="dxa"/>
            <w:gridSpan w:val="4"/>
            <w:vAlign w:val="center"/>
          </w:tcPr>
          <w:p w14:paraId="3AA1C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40" w:lineRule="exact"/>
              <w:jc w:val="left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计分办法：评委根据文件评分标准，统一认定供应商的硬指标分值，再加上评委个人的评判分值，得出每个评委对供应商的评标分数。供应商的最终得分为所有评委对其打分值后的算术平均值，计分过程和打分结果保留小数点后两位。</w:t>
            </w:r>
          </w:p>
        </w:tc>
      </w:tr>
    </w:tbl>
    <w:p w14:paraId="3CEFE332"/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0A3477A-3845-489B-A0D0-961970F4040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beration Sans">
    <w:altName w:val="华文中宋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Noto Sans CJK SC Regular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C70BDCC-B399-4A81-B059-E2164A8BD63F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15F00C08-4B18-45F2-A25F-46F3D51F806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CDAC78">
    <w:pPr>
      <w:pStyle w:val="12"/>
      <w:tabs>
        <w:tab w:val="clear" w:pos="4153"/>
        <w:tab w:val="clear" w:pos="8306"/>
      </w:tabs>
      <w:rPr>
        <w:sz w:val="18"/>
      </w:rPr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_x0000_s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69C4D0">
                          <w:pPr>
                            <w:pStyle w:val="12"/>
                            <w:tabs>
                              <w:tab w:val="clear" w:pos="4153"/>
                              <w:tab w:val="clear" w:pos="8306"/>
                            </w:tabs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 w14:paraId="3E706BA1"/>
                      </w:txbxContent>
                    </wps:txbx>
                    <wps:bodyPr rot="0"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rect id="_x0000_s2049" o:spid="_x0000_s1026" o:spt="1" style="position:absolute;left:0pt;margin-top:0pt;height:144pt;width:144pt;mso-position-horizontal:outside;mso-position-horizontal-relative:margin;z-index:251659264;mso-width-relative:page;mso-height-relative:page;" filled="f" stroked="f" coordsize="21600,21600" o:gfxdata="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FmtmPLTAAAA&#10;BQEAAA8AAAAAAAAAAQAgAAAAIgAAAGRycy9kb3ducmV2LnhtbFBLAQIUABQAAAAIAIdO4kDbRAFC&#10;sAEAAHYDAAAOAAAAAAAAAAEAIAAAACIBAABkcnMvZTJvRG9jLnhtbFBLBQYAAAAABgAGAFkBAABE&#10;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369C4D0">
                    <w:pPr>
                      <w:pStyle w:val="12"/>
                      <w:tabs>
                        <w:tab w:val="clear" w:pos="4153"/>
                        <w:tab w:val="clear" w:pos="8306"/>
                      </w:tabs>
                      <w:rPr>
                        <w:rFonts w:hint="eastAsia" w:ascii="宋体" w:hAnsi="宋体" w:eastAsia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fldChar w:fldCharType="end"/>
                    </w:r>
                  </w:p>
                  <w:p w14:paraId="3E706BA1"/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1"/>
  <w:displayVerticalDrawingGridEvery w:val="1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wNjVhNGRlOTc4NTgxODNlMDA1MzQ4ZDFkNzdmYWEifQ=="/>
  </w:docVars>
  <w:rsids>
    <w:rsidRoot w:val="00000000"/>
    <w:rsid w:val="0AA339F5"/>
    <w:rsid w:val="11F68962"/>
    <w:rsid w:val="21355031"/>
    <w:rsid w:val="299C3F84"/>
    <w:rsid w:val="2DD53DF8"/>
    <w:rsid w:val="2F9F0C2F"/>
    <w:rsid w:val="32FFC671"/>
    <w:rsid w:val="3BE9C9A4"/>
    <w:rsid w:val="3FAE6A11"/>
    <w:rsid w:val="456B7899"/>
    <w:rsid w:val="4AB381F0"/>
    <w:rsid w:val="63CE7A78"/>
    <w:rsid w:val="7A71000D"/>
    <w:rsid w:val="BEC712AF"/>
    <w:rsid w:val="DDDF9EA3"/>
    <w:rsid w:val="EF2BC3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6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000000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标题 41"/>
    <w:basedOn w:val="1"/>
    <w:qFormat/>
    <w:uiPriority w:val="0"/>
    <w:pPr>
      <w:keepNext/>
      <w:keepLines/>
      <w:spacing w:before="280" w:beforeAutospacing="0" w:after="29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customStyle="1" w:styleId="7">
    <w:name w:val="默认段落字体11"/>
    <w:link w:val="1"/>
    <w:qFormat/>
    <w:uiPriority w:val="0"/>
  </w:style>
  <w:style w:type="table" w:customStyle="1" w:styleId="8">
    <w:name w:val="普通表格1"/>
    <w:semiHidden/>
    <w:qFormat/>
    <w:uiPriority w:val="0"/>
  </w:style>
  <w:style w:type="paragraph" w:customStyle="1" w:styleId="9">
    <w:name w:val="题注1"/>
    <w:basedOn w:val="1"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customStyle="1" w:styleId="10">
    <w:name w:val="批注文字1"/>
    <w:basedOn w:val="1"/>
    <w:qFormat/>
    <w:uiPriority w:val="0"/>
    <w:pPr>
      <w:jc w:val="left"/>
    </w:pPr>
  </w:style>
  <w:style w:type="paragraph" w:customStyle="1" w:styleId="11">
    <w:name w:val="正文文本1"/>
    <w:basedOn w:val="1"/>
    <w:qFormat/>
    <w:uiPriority w:val="0"/>
    <w:pPr>
      <w:spacing w:before="0" w:after="140" w:line="276" w:lineRule="auto"/>
    </w:pPr>
  </w:style>
  <w:style w:type="paragraph" w:customStyle="1" w:styleId="12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3">
    <w:name w:val="页眉1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4">
    <w:name w:val="列表1"/>
    <w:basedOn w:val="11"/>
    <w:qFormat/>
    <w:uiPriority w:val="0"/>
  </w:style>
  <w:style w:type="character" w:customStyle="1" w:styleId="15">
    <w:name w:val="要点1"/>
    <w:basedOn w:val="7"/>
    <w:link w:val="1"/>
    <w:qFormat/>
    <w:uiPriority w:val="0"/>
    <w:rPr>
      <w:b/>
    </w:rPr>
  </w:style>
  <w:style w:type="character" w:customStyle="1" w:styleId="16">
    <w:name w:val="默认段落字体1"/>
    <w:link w:val="1"/>
    <w:qFormat/>
    <w:uiPriority w:val="0"/>
  </w:style>
  <w:style w:type="paragraph" w:customStyle="1" w:styleId="17">
    <w:name w:val="Heading"/>
    <w:basedOn w:val="1"/>
    <w:qFormat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/>
      <w:sz w:val="28"/>
      <w:szCs w:val="28"/>
      <w:lang w:bidi="ar-SA"/>
    </w:rPr>
  </w:style>
  <w:style w:type="paragraph" w:customStyle="1" w:styleId="18">
    <w:name w:val="Index"/>
    <w:basedOn w:val="1"/>
    <w:qFormat/>
    <w:uiPriority w:val="0"/>
    <w:pPr>
      <w:widowControl w:val="0"/>
      <w:suppressLineNumbers/>
      <w:suppressAutoHyphens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1406</Words>
  <Characters>1449</Characters>
  <Lines>0</Lines>
  <Paragraphs>0</Paragraphs>
  <TotalTime>16</TotalTime>
  <ScaleCrop>false</ScaleCrop>
  <LinksUpToDate>false</LinksUpToDate>
  <CharactersWithSpaces>1450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2025-03-06T08:14:00Z</dcterms:created>
  <dc:creator>张艳华</dc:creator>
  <cp:lastModifiedBy>祝明</cp:lastModifiedBy>
  <dcterms:modified xsi:type="dcterms:W3CDTF">2025-03-07T02:28:03Z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894172A5FD1C8E94A308C9678DCC3003</vt:lpwstr>
  </property>
  <property fmtid="{D5CDD505-2E9C-101B-9397-08002B2CF9AE}" pid="4" name="KSOTemplateDocerSaveRecord">
    <vt:lpwstr>eyJoZGlkIjoiYTcyZTVhOGQwMWRjMmJkNDBhNjFiZTdiNjY1ODNhM2YiLCJ1c2VySWQiOiI0MzAyNjI4NzAifQ==</vt:lpwstr>
  </property>
</Properties>
</file>