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年末发行的新增政府专项债券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pPr w:leftFromText="180" w:rightFromText="180" w:vertAnchor="text" w:horzAnchor="page" w:tblpX="1687" w:tblpY="4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86"/>
        <w:gridCol w:w="1395"/>
        <w:gridCol w:w="3993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3381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4835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98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395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3993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98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2023年广西壮族自治区政府社会领域专项债券（二期）——2023年广西壮族自治区政府专项债券（十九期）</w:t>
            </w:r>
          </w:p>
        </w:tc>
        <w:tc>
          <w:tcPr>
            <w:tcW w:w="1395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3993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229其他支出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0.37</w:t>
            </w: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986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2023年广西壮族自治区政府社会领域专项债券（二期）——2023年广西壮族自治区政府专项债券（十九期）</w:t>
            </w:r>
          </w:p>
        </w:tc>
        <w:tc>
          <w:tcPr>
            <w:tcW w:w="1395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3993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229其他</w:t>
            </w:r>
            <w:bookmarkStart w:id="0" w:name="_GoBack"/>
            <w:bookmarkEnd w:id="0"/>
            <w:r>
              <w:rPr>
                <w:rFonts w:hint="eastAsia" w:hAnsi="黑体"/>
                <w:sz w:val="24"/>
                <w:szCs w:val="24"/>
              </w:rPr>
              <w:t>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0.37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'Noto Color Emoji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2Y0YjY4YjM1Y2YxNjc1YjZjNjlmZjEzZmYyYTAifQ=="/>
    <w:docVar w:name="KSO_WPS_MARK_KEY" w:val="15d7c774-b171-4a18-9dd3-2270ce2d2d2f"/>
  </w:docVars>
  <w:rsids>
    <w:rsidRoot w:val="00000000"/>
    <w:rsid w:val="28B704A4"/>
    <w:rsid w:val="36F77DA6"/>
    <w:rsid w:val="413440D5"/>
    <w:rsid w:val="7A2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222</Characters>
  <Lines>0</Lines>
  <Paragraphs>0</Paragraphs>
  <TotalTime>0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2024-07-05T09:38:00Z</dcterms:created>
  <dc:creator>lenovo</dc:creator>
  <cp:lastModifiedBy>潘俊有</cp:lastModifiedBy>
  <dcterms:modified xsi:type="dcterms:W3CDTF">2024-07-05T10:35:41Z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8C2736F167624E559233B9AB7891091B</vt:lpwstr>
  </property>
</Properties>
</file>