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</w:rPr>
      </w:pPr>
      <w:r>
        <w:rPr>
          <w:rFonts w:hint="eastAsia" w:ascii="黑体" w:hAnsi="黑体" w:eastAsia="黑体"/>
          <w:szCs w:val="32"/>
        </w:rPr>
        <w:t xml:space="preserve">附件2        </w:t>
      </w:r>
      <w:r>
        <w:rPr>
          <w:rFonts w:hint="eastAsia" w:ascii="黑体" w:eastAsia="黑体"/>
        </w:rPr>
        <w:t xml:space="preserve">                                           </w:t>
      </w:r>
    </w:p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截至202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年末发行的新增政府专项债券情况表</w:t>
      </w:r>
    </w:p>
    <w:tbl>
      <w:tblPr>
        <w:tblStyle w:val="5"/>
        <w:tblpPr w:leftFromText="180" w:rightFromText="180" w:vertAnchor="text" w:horzAnchor="page" w:tblpX="1222" w:tblpY="2"/>
        <w:tblOverlap w:val="never"/>
        <w:tblW w:w="215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695"/>
        <w:gridCol w:w="510"/>
        <w:gridCol w:w="450"/>
        <w:gridCol w:w="720"/>
        <w:gridCol w:w="1320"/>
        <w:gridCol w:w="735"/>
        <w:gridCol w:w="698"/>
        <w:gridCol w:w="757"/>
        <w:gridCol w:w="705"/>
        <w:gridCol w:w="1110"/>
        <w:gridCol w:w="780"/>
        <w:gridCol w:w="1095"/>
        <w:gridCol w:w="1020"/>
        <w:gridCol w:w="690"/>
        <w:gridCol w:w="1665"/>
        <w:gridCol w:w="5970"/>
        <w:gridCol w:w="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部门名称</w:t>
            </w:r>
          </w:p>
        </w:tc>
        <w:tc>
          <w:tcPr>
            <w:tcW w:w="612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债券信息</w:t>
            </w:r>
          </w:p>
        </w:tc>
        <w:tc>
          <w:tcPr>
            <w:tcW w:w="1379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债券项目情况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债券名称</w:t>
            </w:r>
          </w:p>
        </w:tc>
        <w:tc>
          <w:tcPr>
            <w:tcW w:w="51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债券编码</w:t>
            </w:r>
          </w:p>
        </w:tc>
        <w:tc>
          <w:tcPr>
            <w:tcW w:w="4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债券类型</w:t>
            </w:r>
          </w:p>
        </w:tc>
        <w:tc>
          <w:tcPr>
            <w:tcW w:w="7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债券规模（万元）</w:t>
            </w:r>
          </w:p>
        </w:tc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发行时间（年/月/日）</w:t>
            </w:r>
          </w:p>
        </w:tc>
        <w:tc>
          <w:tcPr>
            <w:tcW w:w="7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债券利率（%）</w:t>
            </w:r>
          </w:p>
        </w:tc>
        <w:tc>
          <w:tcPr>
            <w:tcW w:w="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债券期限（年）</w:t>
            </w:r>
          </w:p>
        </w:tc>
        <w:tc>
          <w:tcPr>
            <w:tcW w:w="7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债券项目资产类型</w:t>
            </w:r>
          </w:p>
        </w:tc>
        <w:tc>
          <w:tcPr>
            <w:tcW w:w="18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项目总投资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(万元）</w:t>
            </w:r>
          </w:p>
        </w:tc>
        <w:tc>
          <w:tcPr>
            <w:tcW w:w="211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项目已实现投资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val="en-US" w:eastAsia="zh-CN"/>
              </w:rPr>
              <w:t>(万元）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已取得项目收益</w:t>
            </w:r>
          </w:p>
        </w:tc>
        <w:tc>
          <w:tcPr>
            <w:tcW w:w="16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形成资产情况</w:t>
            </w:r>
          </w:p>
        </w:tc>
        <w:tc>
          <w:tcPr>
            <w:tcW w:w="59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建设进度及运营情况</w:t>
            </w: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其中：债券资金安排</w:t>
            </w: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2" w:hRule="atLeast"/>
        </w:trPr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防城港职业技术学院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2023年广西壮族自治区政府社会领域专项债券（二期）——2023年广西壮族自治区政府专项债券（十九期）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2305963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专项债券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6000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2023/8/23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2.99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防城港职业技术学院扩建工程(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期)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校园教学用房建设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12689.7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6000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3707.104392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3707.104392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扩建项目建设中，未进行验收，还未清楚资产情况。</w:t>
            </w:r>
          </w:p>
        </w:tc>
        <w:tc>
          <w:tcPr>
            <w:tcW w:w="597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　项目总体完工率：83 %；具体为：实训楼：屋面防水完成100%，内、外墙抹灰完成100%，外墙涂料完成90%,内墙腻子涂料完成97%，消防安装完成97%，通风排烟安装完成95%，给排水安装完成90%,电气安装完成85%。地板砖完成85%。</w:t>
            </w:r>
          </w:p>
          <w:p>
            <w:pPr>
              <w:widowControl/>
              <w:jc w:val="left"/>
              <w:rPr>
                <w:rFonts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</w:rPr>
              <w:t>活动中心：屋面防水完成100%，内、外墙抹灰完成100%，外墙涂料完成85%,内墙腻子涂料完成95%，消防安装完成90%，通风排烟安装完成85%，给排水安装完成85%,电气安装完成80%。地板砖铺贴完成85%。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</w:tbl>
    <w:p>
      <w:pPr>
        <w:widowControl/>
        <w:jc w:val="center"/>
        <w:rPr>
          <w:rFonts w:hint="eastAsia" w:ascii="Calibri" w:hAnsi="Calibri" w:eastAsia="仿宋_GB2312"/>
          <w:lang w:val="en-US" w:eastAsia="zh-CN"/>
        </w:rPr>
        <w:sectPr>
          <w:headerReference r:id="rId3" w:type="default"/>
          <w:footerReference r:id="rId4" w:type="default"/>
          <w:footerReference r:id="rId5" w:type="even"/>
          <w:pgSz w:w="23811" w:h="16838" w:orient="landscape"/>
          <w:pgMar w:top="1588" w:right="1134" w:bottom="1418" w:left="567" w:header="851" w:footer="992" w:gutter="0"/>
          <w:pgNumType w:fmt="decimal" w:start="7"/>
          <w:cols w:space="720" w:num="1"/>
          <w:docGrid w:linePitch="435" w:charSpace="0"/>
        </w:sectPr>
      </w:pPr>
      <w:r>
        <w:rPr>
          <w:rFonts w:hint="eastAsia"/>
          <w:sz w:val="28"/>
          <w:szCs w:val="28"/>
        </w:rPr>
        <w:t>注：本表由使用专项债券资金的部门逐笔填列后于每年6月底前公开，本次反映202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-202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年末专项债券及对应项目情况</w:t>
      </w:r>
      <w:r>
        <w:rPr>
          <w:rFonts w:hint="eastAsia"/>
          <w:sz w:val="28"/>
          <w:szCs w:val="28"/>
          <w:lang w:eastAsia="zh-CN"/>
        </w:rPr>
        <w:t>。</w:t>
      </w:r>
      <w:bookmarkStart w:id="0" w:name="_GoBack"/>
      <w:bookmarkEnd w:id="0"/>
    </w:p>
    <w:p/>
    <w:sectPr>
      <w:pgSz w:w="16838" w:h="11906" w:orient="landscape"/>
      <w:pgMar w:top="567" w:right="850" w:bottom="567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70"/>
      <w:jc w:val="lef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-21590</wp:posOffset>
              </wp:positionV>
              <wp:extent cx="8509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1.7pt;height:18.15pt;width:67pt;mso-position-horizontal-relative:margin;z-index:251659264;mso-width-relative:page;mso-height-relative:page;" filled="f" stroked="f" coordsize="21600,21600" o:gfxdata="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d4je1gAAAAYBAAAPAAAAAAAAAAEAIAAAACIAAABkcnMvZG93bnJldi54bWxQSwECFAAU&#10;AAAACACHTuJAKZsLGboBAABxAwAADgAAAAAAAAABACAAAAAl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kY2Y0YjY4YjM1Y2YxNjc1YjZjNjlmZjEzZmYyYTAifQ=="/>
    <w:docVar w:name="KSO_WPS_MARK_KEY" w:val="15d7c774-b171-4a18-9dd3-2270ce2d2d2f"/>
  </w:docVars>
  <w:rsids>
    <w:rsidRoot w:val="00000000"/>
    <w:rsid w:val="00DC6100"/>
    <w:rsid w:val="195C14A3"/>
    <w:rsid w:val="36F77DA6"/>
    <w:rsid w:val="6EBC4C1A"/>
    <w:rsid w:val="709F554D"/>
    <w:rsid w:val="7FD1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499</Words>
  <Characters>611</Characters>
  <Lines>0</Lines>
  <Paragraphs>0</Paragraphs>
  <TotalTime>44</TotalTime>
  <ScaleCrop>false</ScaleCrop>
  <LinksUpToDate>false</LinksUpToDate>
  <CharactersWithSpaces>679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2024-07-05T09:38:00Z</dcterms:created>
  <dc:creator>lenovo</dc:creator>
  <cp:lastModifiedBy>潘俊有</cp:lastModifiedBy>
  <dcterms:modified xsi:type="dcterms:W3CDTF">2024-07-08T08:39:41Z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8C2736F167624E559233B9AB7891091B</vt:lpwstr>
  </property>
</Properties>
</file>